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29 vom 10. Februar 2025</w:t>
      </w:r>
    </w:p>
    <w:p>
      <w:r>
        <w:t>VS Kantonsgericht, 2025-02-10, FR</w:t>
      </w:r>
    </w:p>
    <w:p>
      <w:r>
        <w:rPr>
          <w:b/>
        </w:rPr>
        <w:t xml:space="preserve">Quelle: </w:t>
      </w:r>
      <w:r>
        <w:t>https://mcp.opencaselaw.ch/entscheid/vs_gerichte_S2 23 29</w:t>
      </w:r>
    </w:p>
    <w:p>
      <w:r>
        <w:t>FR: VS_GERICHTE S2 23 29 du 10 février 2025</w:t>
      </w:r>
    </w:p>
    <w:p>
      <w:r>
        <w:t>IT: VS_GERICHTE S2 23 29 del 10 febbraio 2025</w:t>
      </w:r>
    </w:p>
    <w:p>
      <w:pPr>
        <w:pStyle w:val="Heading2"/>
      </w:pPr>
      <w:r>
        <w:t>Regeste</w:t>
      </w:r>
    </w:p>
    <w:p>
      <w:r>
        <w:t>S2 23 29 ARRET DU 10 FÉVRIER 2025 Tribunal cantonal du Valais Cour des assurances sociales Composition : Candido Prada, président ; Frédéric Fellay et Christophe Joris, juges ; Anaïs Mottiez, greffière en la cause X _________, recourant, représenté par Procap Suisse, Bienne contre CAISSE NATIONALE SUISSE D'ASSURANCE EN CAS D'ACCIDENTS (CNA), intimée, représentée par Maître Antoine Schöni, avocat, Bienne (aggravation de l’état de santé ; valeur probante de l’avis du médecin-conseil de l’assurance)</w:t>
      </w:r>
    </w:p>
    <w:p>
      <w:pPr>
        <w:pStyle w:val="Heading2"/>
      </w:pPr>
      <w:r>
        <w:t>Erwägungen</w:t>
      </w:r>
    </w:p>
    <w:p>
      <w:r>
        <w:rPr>
          <w:b/>
        </w:rPr>
        <w:t>E. 1</w:t>
      </w:r>
    </w:p>
    <w:p>
      <w:r>
        <w:t>Selon l'article 1 alinéa 1 LAA, les dispositions de la loi fédérale du 6 octobre 2000 sur la partie générale du droit des assurances sociales (LPGA) s'appliquent à l'assurance- accidents, à moins que la LAA n'y déroge expressément. Remis à la poste le 27 mars 2023, le présent recours à l'encontre de la décision sur opposition du 21 février précédent, reçue le 23 février 2023 par le mandaire du recourant, a été interjeté dans le délai légal de trente jours (art. 38 al. 3 et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le droit du recourant à des prestations d’assurance-accidents supplémentaires en lien avec l’aggravation alléguée de son état de santé par rapport à la situation prévalant au moment de la précédente décision d’octroi de prestations du</w:t>
      </w:r>
    </w:p>
    <w:p>
      <w:r>
        <w:t>- 9 - 18 août 2018, confirmée sur recours le 26 février 2019 par l’autorité de céans (cause S2 18 95).</w:t>
      </w:r>
    </w:p>
    <w:p>
      <w:r>
        <w:rPr>
          <w:b/>
        </w:rPr>
        <w:t>E. 2.2</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 La lettre f de cette liste mentionne les déchirures de tendons. La jurisprudence considère qu'une rupture de la coiffe des rotateurs peut être assimilée à une déchirure des tendons, lorsque sont réunis tous les éléments caractéristiques d'un accident à l'exception du facteur extérieur de caractère extraordinaire (ATF 123 V 43 consid. 2b ; arrêt du Tribunal fédéral 8C_232/2019 du 26 juin 2020 consid. 3.5). Dans la mesure où l’assurance-accidents a admis l’existence d’un accident au sens de l’article 4 LPGA, soit l’événement du 10 octobre 2016, le litige doit être examiné sur la base de l’article 6 alinéa 1 LAA, même en présence d’une lésion corporelle au sens de l’article 6 alinéa 2 LAA (ATF 146 V 51 consid. 9.1 résumé dans la RSAS 1/2020 p. 33 ss.; arrêt du Tribunal fédéral 8C_169/2019 du 10 mars 2020 consid. 5.2).</w:t>
      </w:r>
    </w:p>
    <w:p>
      <w:r>
        <w:rPr>
          <w:b/>
        </w:rPr>
        <w:t>E. 2.3</w:t>
      </w:r>
    </w:p>
    <w:p>
      <w:r>
        <w:t>L’article 17 alinéa 1 LPGA prévoit que la rente d’invalidité est, d’office ou sur demande, révisée pour l’avenir, à savoir augmentée, réduite ou supprimée, lorsque le taux d’invalidité de l’assuré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V368 consid. 2 et la référence). C'est la dernière décision entrée en force qui repose sur un examen matériel complet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w:t>
      </w:r>
    </w:p>
    <w:p>
      <w:r>
        <w:t>- 10 -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 consid. 1b). Par contre, il n'y a pas de motif de révision lorsqu'on est en présence d'une évaluation simplement différente d'une situation qui est pour l'essentiel restée la même, à l’instar d’une appréciation différente des effets sur la capacité de travail d’un état de santé resté essentiellement inchangé (ATF 112 V 371 consid. 2b et 112 V 387 consid. 1b ; arrêts du Tribunal fédéral 9C_552/2007 du 17 janvier 2008 consid 3.1.2 ; 9C_748/2013 du 10 février 2014 consid. 4.3 et 9C_818/2015 du 22 mars 2016 consid. 2.2).</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w:t>
      </w:r>
    </w:p>
    <w:p>
      <w:r>
        <w:t>- 11 -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et 8C_46/2019 du 10 mai 2019 consid. 3.2.1 ; arrêt du Tribunal fédéral des assurances U 492/00 du 31 juillet 2001, in RAMA 2001 n°</w:t>
      </w:r>
    </w:p>
    <w:p>
      <w:r>
        <w:t>- 12 -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rPr>
          <w:b/>
        </w:rPr>
        <w:t>E. 2.5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w:t>
      </w:r>
    </w:p>
    <w:p>
      <w:r>
        <w:rPr>
          <w:b/>
        </w:rPr>
        <w:t>E. 3.1</w:t>
      </w:r>
    </w:p>
    <w:p>
      <w:r>
        <w:t>Dans le cas d’espèce, l’intimée a nié le droit du recourant à des prestations d’assurance supplémentaires, au motif que la situation était identique à celle prévalant en 2018, lors du prononcé de la dernière décision de prestations en force, et ce conformément à l’avis de son médecin-conseil. Dans son appréciation du 13 septembre 2022, complétée le 31 octobre suivant, le Dr G _________, spécialiste FMH en chirurgie orthopédique et traumatologie et médecin d’arrondissement, a en effet rappelé que la seule atteinte à la santé qui concernait la CNA était celle au niveau de l’épaule droite, de type pseudo-paralytique à la suite de ruptures itératives de la coiffe des rotateurs, et estimé que s’il était pour le moins probable que les troubles invoqués soient imputables, au degré de la vraisemblance prépondérante, à l’accident du 10 octobre 2016, une aggravation objectivable liée à l’accident mentionné ci-avant était cependant tout au plus possible, une rupture itérative non réparable de la coiffe des rotateurs étant déjà connue lors de son appréciation du 26 janvier 2018. Ce spécialiste a ajouté que le Dr C _________, spécialiste FMH en chirurgie orthopédique et traumatologie, n’avait pas fait état d’une aggravation de la</w:t>
      </w:r>
    </w:p>
    <w:p>
      <w:r>
        <w:t>- 13 - situation concernant le membre supérieur droit, notamment quant à la fonction ou à l’aggravation d’une omarthrose, et qu’il n’avait fait aucune proposition thérapeutique, à l’instar de la mise en place d’une prothèse, de sorte qu’il n’était pas possible de reconnaître une aggravation notable pouvant justifier une modification de l’IPAI et de l’exigibilité. L’intimée a ainsi choisi de régler le cas d’assurance du recourant en se basant principalement sur l’avis de son médecin-conseil, sans recourir à une expertise externe (art. 44 LPGA). Dès lors, selon la jurisprudence rappelée ci-dessus (cf. supra consid. 2.4), l'appréciation des preuves doit répondre à des exigences strictes et des doutes, mêmes minimes, quant à la fiabilité et la validité des constatations du médecin de l'assurance, exigent de procéder à des investigations complémentaires.</w:t>
      </w:r>
    </w:p>
    <w:p>
      <w:r>
        <w:rPr>
          <w:b/>
        </w:rPr>
        <w:t>E. 3.2</w:t>
      </w:r>
    </w:p>
    <w:p>
      <w:r>
        <w:t>A la lecture du dossier, force est de constater que les rapports des 13 septembre 2022 et 31 octobre suivant du Dr G _________ sont en contradiction avec l’avis du Dr C _________ du 1er avril 2021 ainsi que, dans une moindre mesure, avec le rapport final du SMR du 20 avril 2022 (Dresse I _________), qui se fonde sur l’avis du Dr C _________. En effet, dans son rapport – extrêmement succinct – du 13 septembre 2022, le Dr G _________ a nié le droit du recourant à une IPAI supérieure à 15%, motif pris que, selon le Dr C _________, l’épaule était mobile jusqu’à l’horizontale, ce qui correspondait à 15% d’IPAI, soit le taux octroyé en 2018. Or, une lecture attentive de l’avis du Dr C _________ montre bien plutôt que ce spécialiste a indiqué que la situation de son patient n’était pas restée identique (épaule mobile jusqu’à l’horizontale) mais s’était péjorée et qu’il avait perdu progressivement la mobilité de son épaule droite en raison de la rupture massive de la coiffe des rotateurs avec la présence d’une omarthrose. Par ailleurs, le Dr G _________ soutient, dans son appréciation du 31 octobre 2022, que le Dr C _________ n’aurait aucunement fait état d’une aggravation de la situation, notamment quant à la fonction ou à l’aggravation d’une omarthrose, et qu’il n’avait fait aucune proposition thérapeutique susceptible de prouver la péjoration alléguée, à l’instar de la mise en place d’une prothèse. Or, s’il est vrai que le Dr C _________ n’a pas formulé de proposition thérapeutique, il ressort en revanche expressément de son rapport du 1er avril 2021 que l’imagerie médicale par rayons X réalisée avait mis en évidence des signes d’omarthrose débutante. A cet égard, la Cour relève qu’une simple lecture du dossier permet de constater que ce médecin traitant n’avait fait précédemment état que d’omalgies (cf. not. rapport du 2 mars 2018, pièce 132), et non d’omarthrose. Cette dernière pathologie est du reste confirmée par le Dr C _________ dans son rapport du 29 août 2023, qui, bien que postérieur à la décision</w:t>
      </w:r>
    </w:p>
    <w:p>
      <w:r>
        <w:t>- 14 - litigieuse, est néanmoins étroitement lié à l’objet du litige. Dès lors que le droit à des prestations découlant d’un accident assuré suppose entre l’événement dommageable de caractère accidentel et l’atteinte à la santé un lien de causalité naturelle et adéquate, le Dr G _________ aurait dû se prononcer non seulement sur l’omarthrose débutante relevée par le Dr C _________ mais aussi sur son origine, traumatique ou dégénérative, ce qu’il n’a pas fait. En outre, le Dr G _________ ne dit rien des nouvelles limitations fonctionnelles posées par le SMR dans le rapport final du 20 avril 2022 (position de travail alternée, pas de port de charges, travaux lourds proscrits, travaux à hauteur d’établi, pas de travaux au-dessus du plan des épaules, pas de mouvements répétitifs avec les membres supérieurs au-dessus du plan des coudes, pas de travaux avec des vibrations), alors même que ces limitations, principalement dues à l’état de l’épaule droite du recourant, diffèrent sensiblement de celles retenues par le médecin-conseil dans son rapport du 26 janvier 2018 (activité principalement mono-manuelle gauche ou dans une activité légère à hauteur d’établi n’exigeant pas de sollicitations du bras droit au-dessus de la poitrine). Au vu de ces développements et compte tenu des exigences strictes posées par la jurisprudence en matière d’appréciation de l’avis d’un médecin interne à l’assurance, sans recours à une expertise externe, une pleine valeur probante ne saurait être reconnue à l’avis interne du Dr G _________.</w:t>
      </w:r>
    </w:p>
    <w:p>
      <w:r>
        <w:rPr>
          <w:b/>
        </w:rPr>
        <w:t>E. 3.3</w:t>
      </w:r>
    </w:p>
    <w:p>
      <w:r>
        <w:t>Ainsi, en l’état du dossier, la Cour de céans constate que l’instruction médicale est insuffisante et contradictoire, que les rapports médicaux au dossier ne permettent pas d’établir, au degré de la vraisemblance prépondérante, l’état de fait déterminant sur le plan juridique et qu’un doute subsiste quant à l’aggravation de l’état de santé du recourant par rapport à la précédente décision de prestations entrée en force. La CNA aurait dû remédier aux lacunes de l’instruction qu’elle a menée et ne pouvait pas attendre du Tribunal qu’il la complète à sa place. Partant, il convient de renvoyer le dossier à l’autorité intimée pour instruction complémentaire conformément à ce qui précède, puis nouvelle décision sur ce point.</w:t>
      </w:r>
    </w:p>
    <w:p>
      <w:r>
        <w:rPr>
          <w:b/>
        </w:rPr>
        <w:t>E. 4</w:t>
      </w:r>
    </w:p>
    <w:p>
      <w:r>
        <w:t>al. 1 et art. 27 al. 4 LTar), laissant dans ce cadre à l’autorité ou au juge un large pouvoir d'appréciation qui doit néanmoins être exercé dans les limites fixées par la loi. Le Tribunal fédéral a en outre retenu qu’une partie représentée par l’avocat d’une assurance de protection juridique avait également droit à une indemnité pour ses dépens (ATF 122 V 278 ; VSI 1997, 33), de même que celle représentée par le Service juridique de la Fédération suisse pour l’intégration des handicapés (ATF 126 V 11 consid. 2 ; SVR 1997 IV n° 110 p. 341 ; VSI 2000, 294). Il a également exposé qu’une indemnisation distincte d’avocats employés auprès d’associations, d’une part, et d’avocats exerçant leur métier en profession libérale, d’autre part, n’était pas arbitraire (SVR1999, IV n° 28,</w:t>
      </w:r>
    </w:p>
    <w:p>
      <w:r>
        <w:t>- 16 - p. 85) et, dans le cadre d’un recours de droit public, a admis qu’il n’était pas arbitraire de traiter différemment le statut d’avocat indépendant de celui d’avocat employé par une assurance de protection juridique, ce dernier profitant de l’infrastructure de l’assurance et de sa possibilité de faire de la publicité, si bien qu’il est dédommagé de manière appropriée pour son travail et que la société reçoit pour ses prestations des primes des assurés (ATF 120 la 169).</w:t>
      </w:r>
    </w:p>
    <w:p>
      <w:r>
        <w:rPr>
          <w:b/>
        </w:rPr>
        <w:t>E. 4.1</w:t>
      </w:r>
    </w:p>
    <w:p>
      <w:r>
        <w:t>La procédure est gratuite (art. 61 let. fbis LPGA), la loi spéciale, en l’occurrence la LAA, ne prévoyant pas le prélèvement de frais.</w:t>
      </w:r>
    </w:p>
    <w:p>
      <w:r>
        <w:t>- 15 -</w:t>
      </w:r>
    </w:p>
    <w:p>
      <w:r>
        <w:rPr>
          <w:b/>
        </w:rPr>
        <w:t>E. 4.2</w:t>
      </w:r>
    </w:p>
    <w:p>
      <w:r>
        <w:t>Aux termes de l’article 61 lettre g LPGA, la partie recourante est réputée avoir obtenu gain de cause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Eu égard à ce qui précède, X _________ a obtenu gain de cause en l’espèce et a droit à des dépens.</w:t>
      </w:r>
    </w:p>
    <w:p>
      <w:r>
        <w:rPr>
          <w:b/>
        </w:rPr>
        <w:t>E. 4.2.1</w:t>
      </w:r>
    </w:p>
    <w:p>
      <w:r>
        <w:t>Le montant des dépens est déterminé sans égard à la valeur litigieuse d’après l’importance et la complexité du litige. L’autorité cantonale chargée de fixer l’indemnité de dépens jouit d’un large pouvoir d’appréciation (ATF 111 V 49 consid. 4a ; 110 V 365 consid. 3c ; SVR 2001 AHV no 4 p. 12 consid. 3b). Aux termes de l’article 27 alinéa 1 LTar,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du Tribunal fédéral 5D_54/2014 du 1er juillet 2014 consid. 2.2 ; RVJ 2009 160 consid. 5a). La durée de l’activité utilement déployée par un avocat diligent est appréciée en procédant par estimation, en fonction du cours ordinaire des choses et de l’expérience de la vie (RVJ 1994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w:t>
      </w:r>
    </w:p>
    <w:p>
      <w:r>
        <w:rPr>
          <w:b/>
        </w:rPr>
        <w:t>E. 4.2.2</w:t>
      </w:r>
    </w:p>
    <w:p>
      <w:r>
        <w:t>En l’occurrence, le recourant, représenté initialement par Me Séverin Tissot- Daguette puis par Me Franziska Lüthy, tous deux avocats auprès du service juridique de l’association Procap Suisse, a déposé le 31 août 2023 une note d’honoraires totalisant la somme de 2137 fr. 30 pour un temps de travail de 6h45. S’il est vrai que les postes indiqués dans cette note n’apparaissent pas d’emblées excessifs, la Cour relève toutefois que les avocats précités exercent leur activité auprès d’une association et non de manière libérale. Eu égard à la jurisprudence rappelée ci-dessus (cf. supra consid. 4.2.1) et compte tenu de l’ampleur du dossier, des questions juridiques soulevées, de la teneur des pièces de procédure déposées, soit uniquement la décision litigieuse et un rapport médical postérieur à cette décision, la Cour fixe les dépens à un montant arrondi de 1400 fr., débours et TVA compris.</w:t>
      </w:r>
    </w:p>
    <w:p>
      <w:r>
        <w:t>Prononce</w:t>
      </w:r>
    </w:p>
    <w:p>
      <w:r>
        <w:t>1. Le recours est admis, la décision entreprise annulée et le dossier retourné à la Caisse nationale suisse d’assurance en cas d’accidents (CNA) pour instruction complémentaire et nouvelle décision au sens du considérant 3. 2. Il n'est pas perçu de frais. 3. La Caisse nationale suisse d’assurance en cas d’accidents (CNA) versera à X _________ une indemnité de 1400 francs pour ses dépens. Sion, le 10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